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60"/>
        <w:rPr>
          <w:rFonts w:ascii="Times New Roman"/>
          <w:sz w:val="20"/>
        </w:rPr>
      </w:pPr>
      <w:r>
        <w:rPr>
          <w:rFonts w:ascii="Times New Roman"/>
          <w:sz w:val="20"/>
        </w:rPr>
        <w:drawing>
          <wp:inline distT="0" distB="0" distL="0" distR="0">
            <wp:extent cx="941945" cy="70723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41945" cy="7072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1"/>
        <w:rPr>
          <w:rFonts w:ascii="Times New Roman"/>
          <w:sz w:val="21"/>
        </w:rPr>
      </w:pPr>
    </w:p>
    <w:p>
      <w:pPr>
        <w:pStyle w:val="Heading1"/>
        <w:spacing w:before="0"/>
        <w:ind w:left="1344" w:right="1691" w:firstLine="719"/>
      </w:pPr>
      <w:r>
        <w:rPr/>
        <w:pict>
          <v:shapetype id="_x0000_t202" o:spt="202" coordsize="21600,21600" path="m,l,21600r21600,l21600,xe">
            <v:stroke joinstyle="miter"/>
            <v:path gradientshapeok="t" o:connecttype="rect"/>
          </v:shapetype>
          <v:shape style="position:absolute;margin-left:20pt;margin-top:-17.344421pt;width:29pt;height:230.7pt;mso-position-horizontal-relative:page;mso-position-vertical-relative:paragraph;z-index:-6544"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11/03/2021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t>ACTA DE LA SESIÓN ORDINARIA CELEBRADA EL DÍA VEINTITRÉS DE FEBRERO DE DOS MIL VEINTIUNO, EN PRIMERA CONVOCATORIA, POR LA JUNTA DE GOBIERNO LOCAL.</w:t>
      </w:r>
    </w:p>
    <w:p>
      <w:pPr>
        <w:pStyle w:val="BodyText"/>
        <w:rPr>
          <w:b/>
          <w:sz w:val="26"/>
        </w:rPr>
      </w:pPr>
    </w:p>
    <w:p>
      <w:pPr>
        <w:pStyle w:val="BodyText"/>
        <w:spacing w:before="11"/>
        <w:rPr>
          <w:b/>
          <w:sz w:val="21"/>
        </w:rPr>
      </w:pPr>
    </w:p>
    <w:p>
      <w:pPr>
        <w:pStyle w:val="BodyText"/>
        <w:ind w:left="1344" w:right="1688" w:firstLine="719"/>
        <w:jc w:val="both"/>
      </w:pPr>
      <w:r>
        <w:rPr/>
        <w:t>En la Ciudad de </w:t>
      </w:r>
      <w:r>
        <w:rPr>
          <w:spacing w:val="-3"/>
        </w:rPr>
        <w:t>Gáldar, </w:t>
      </w:r>
      <w:r>
        <w:rPr/>
        <w:t>siendo las nueve horas del día veintitrés de Febrero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Doña  Idaira  Chaxiraxi  Mateos  Moreno  y  Don  Heriberto  José Reyes</w:t>
      </w:r>
    </w:p>
    <w:p>
      <w:pPr>
        <w:pStyle w:val="BodyText"/>
        <w:spacing w:line="296" w:lineRule="exact"/>
        <w:ind w:right="1699"/>
        <w:jc w:val="right"/>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Sánchez. Asiste el Interventor Accidental Don Honorio Francisco Jorge</w:t>
      </w:r>
      <w:r>
        <w:rPr>
          <w:spacing w:val="-38"/>
        </w:rPr>
        <w:t> </w:t>
      </w:r>
      <w:r>
        <w:rPr/>
        <w:t>Moreno.</w:t>
      </w:r>
    </w:p>
    <w:p>
      <w:pPr>
        <w:pStyle w:val="BodyText"/>
        <w:spacing w:line="256" w:lineRule="exact"/>
        <w:ind w:left="1344"/>
      </w:pPr>
      <w:r>
        <w:rPr/>
        <w:t>Como Secretaria Accidental Doña Candelaria Guerra Pulido.</w:t>
      </w:r>
    </w:p>
    <w:p>
      <w:pPr>
        <w:pStyle w:val="BodyText"/>
        <w:spacing w:before="11"/>
        <w:rPr>
          <w:sz w:val="23"/>
        </w:rPr>
      </w:pPr>
    </w:p>
    <w:p>
      <w:pPr>
        <w:pStyle w:val="BodyText"/>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0"/>
        </w:rPr>
        <w:t> </w:t>
      </w:r>
      <w:r>
        <w:rPr/>
        <w:t>mismo.</w:t>
      </w:r>
    </w:p>
    <w:p>
      <w:pPr>
        <w:pStyle w:val="BodyText"/>
        <w:spacing w:before="11"/>
        <w:rPr>
          <w:sz w:val="23"/>
        </w:rPr>
      </w:pPr>
    </w:p>
    <w:p>
      <w:pPr>
        <w:pStyle w:val="Heading1"/>
        <w:spacing w:before="0"/>
        <w:ind w:left="2064" w:right="0" w:firstLine="0"/>
        <w:jc w:val="left"/>
        <w:rPr>
          <w:b w:val="0"/>
        </w:rPr>
      </w:pPr>
      <w:r>
        <w:rPr>
          <w:b w:val="0"/>
        </w:rPr>
        <w:t>1º.- </w:t>
      </w:r>
      <w:r>
        <w:rPr>
          <w:u w:val="single"/>
        </w:rPr>
        <w:t>APROBACIÓN, SI PROCEDE,  ACTA SESIÓN ANTERIOR</w:t>
      </w:r>
      <w:r>
        <w:rPr>
          <w:b w:val="0"/>
        </w:rPr>
        <w:t>.-</w:t>
      </w:r>
    </w:p>
    <w:p>
      <w:pPr>
        <w:pStyle w:val="BodyText"/>
        <w:spacing w:before="230"/>
        <w:ind w:left="1344" w:right="1688"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dieciséis de febrero de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4"/>
        </w:rPr>
        <w:t>110.2 </w:t>
      </w:r>
      <w:r>
        <w:rPr/>
        <w:t>del  </w:t>
      </w:r>
      <w:r>
        <w:rPr>
          <w:spacing w:val="-5"/>
        </w:rPr>
        <w:t>R.O.F.</w:t>
      </w:r>
    </w:p>
    <w:p>
      <w:pPr>
        <w:pStyle w:val="BodyText"/>
        <w:spacing w:before="11"/>
        <w:rPr>
          <w:sz w:val="23"/>
        </w:rPr>
      </w:pPr>
    </w:p>
    <w:p>
      <w:pPr>
        <w:pStyle w:val="Heading1"/>
        <w:spacing w:before="0"/>
        <w:ind w:left="1344" w:right="1696"/>
        <w:rPr>
          <w:b w:val="0"/>
        </w:rPr>
      </w:pPr>
      <w:r>
        <w:rPr/>
        <w:pict>
          <v:shape style="position:absolute;margin-left:567.568359pt;margin-top:6.792545pt;width:14.75pt;height:267.150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6ZHNYQ7MYPRH4RLA7JC6TR7Z</w:t>
                  </w:r>
                  <w:r>
                    <w:rPr>
                      <w:sz w:val="12"/>
                    </w:rPr>
                    <w:t>P</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4</w:t>
                  </w:r>
                </w:p>
              </w:txbxContent>
            </v:textbox>
            <w10:wrap type="none"/>
          </v:shape>
        </w:pict>
      </w:r>
      <w:r>
        <w:rPr>
          <w:b w:val="0"/>
        </w:rPr>
        <w:t>2º.- </w:t>
      </w:r>
      <w:r>
        <w:rPr>
          <w:u w:val="single"/>
        </w:rPr>
        <w:t>EXPEDIENTE 2565/2021. CONCESIÓN DE AYUDAS DE</w:t>
      </w:r>
      <w:r>
        <w:rPr/>
        <w:t> </w:t>
      </w:r>
      <w:r>
        <w:rPr>
          <w:u w:val="single"/>
        </w:rPr>
        <w:t>EMERGENCIA SOCIAL. ACUERDO PROCEDENTE</w:t>
      </w:r>
      <w:r>
        <w:rPr>
          <w:b w:val="0"/>
        </w:rPr>
        <w:t>.-</w:t>
      </w:r>
    </w:p>
    <w:p>
      <w:pPr>
        <w:pStyle w:val="BodyText"/>
        <w:spacing w:before="230"/>
        <w:ind w:left="1344" w:right="1689" w:firstLine="719"/>
        <w:jc w:val="both"/>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344" w:right="1697" w:firstLine="720"/>
        <w:jc w:val="both"/>
      </w:pPr>
      <w:r>
        <w:rPr/>
        <w:t>Vista la propuesta de acuerdo, la Junta de Gobierno Local acordó por unanimidad:</w:t>
      </w:r>
    </w:p>
    <w:p>
      <w:pPr>
        <w:pStyle w:val="BodyText"/>
        <w:ind w:left="1344" w:right="1690" w:firstLine="720"/>
        <w:jc w:val="both"/>
      </w:pPr>
      <w:r>
        <w:rPr>
          <w:u w:val="single"/>
        </w:rPr>
        <w:t>PRIMERO</w:t>
      </w:r>
      <w:r>
        <w:rPr/>
        <w:t>.- Conceder las siguientes Ayudas de Emergencia Social por los  conceptos  e  importes  que  se  indican,  en  cuanto  que  los  solicitantes</w:t>
      </w:r>
    </w:p>
    <w:p>
      <w:pPr>
        <w:pStyle w:val="BodyText"/>
        <w:spacing w:before="8"/>
      </w:pPr>
      <w:r>
        <w:rPr/>
        <w:drawing>
          <wp:anchor distT="0" distB="0" distL="0" distR="0" allowOverlap="1" layoutInCell="1" locked="0" behindDoc="0" simplePos="0" relativeHeight="0">
            <wp:simplePos x="0" y="0"/>
            <wp:positionH relativeFrom="page">
              <wp:posOffset>1097280</wp:posOffset>
            </wp:positionH>
            <wp:positionV relativeFrom="paragraph">
              <wp:posOffset>205330</wp:posOffset>
            </wp:positionV>
            <wp:extent cx="5384292" cy="22860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84292" cy="228600"/>
                    </a:xfrm>
                    <a:prstGeom prst="rect">
                      <a:avLst/>
                    </a:prstGeom>
                  </pic:spPr>
                </pic:pic>
              </a:graphicData>
            </a:graphic>
          </wp:anchor>
        </w:drawing>
      </w:r>
    </w:p>
    <w:p>
      <w:pPr>
        <w:spacing w:before="35"/>
        <w:ind w:left="0" w:right="1690" w:firstLine="0"/>
        <w:jc w:val="right"/>
        <w:rPr>
          <w:sz w:val="20"/>
        </w:rPr>
      </w:pPr>
      <w:r>
        <w:rPr>
          <w:w w:val="95"/>
          <w:sz w:val="20"/>
        </w:rPr>
        <w:t>1/4</w:t>
      </w:r>
    </w:p>
    <w:p>
      <w:pPr>
        <w:spacing w:after="0"/>
        <w:jc w:val="right"/>
        <w:rPr>
          <w:sz w:val="20"/>
        </w:rPr>
        <w:sectPr>
          <w:type w:val="continuous"/>
          <w:pgSz w:w="11900" w:h="16840"/>
          <w:pgMar w:top="720" w:bottom="0" w:left="360" w:right="0"/>
        </w:sectPr>
      </w:pPr>
    </w:p>
    <w:p>
      <w:pPr>
        <w:pStyle w:val="BodyText"/>
        <w:spacing w:before="3"/>
        <w:rPr>
          <w:sz w:val="26"/>
        </w:rPr>
      </w:pPr>
    </w:p>
    <w:p>
      <w:pPr>
        <w:pStyle w:val="BodyText"/>
        <w:spacing w:before="93"/>
        <w:ind w:left="1243" w:right="704"/>
      </w:pPr>
      <w:r>
        <w:rPr/>
        <w:t>relacionados cumplen las condiciones y requisitos recogidos en la Ordenanza Reguladora de las Ayudas de Emergencia Social del Ayuntamiento de Gáldar:</w:t>
      </w:r>
    </w:p>
    <w:p>
      <w:pPr>
        <w:pStyle w:val="BodyText"/>
        <w:rPr>
          <w:sz w:val="20"/>
        </w:rPr>
      </w:pPr>
    </w:p>
    <w:p>
      <w:pPr>
        <w:pStyle w:val="BodyText"/>
        <w:spacing w:before="9"/>
        <w:rPr>
          <w:sz w:val="19"/>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54"/>
        <w:gridCol w:w="2400"/>
        <w:gridCol w:w="1366"/>
        <w:gridCol w:w="1795"/>
        <w:gridCol w:w="1135"/>
      </w:tblGrid>
      <w:tr>
        <w:trPr>
          <w:trHeight w:val="620" w:hRule="atLeast"/>
        </w:trPr>
        <w:tc>
          <w:tcPr>
            <w:tcW w:w="1754" w:type="dxa"/>
          </w:tcPr>
          <w:p>
            <w:pPr>
              <w:pStyle w:val="TableParagraph"/>
              <w:spacing w:before="54"/>
              <w:ind w:left="55"/>
              <w:rPr>
                <w:b/>
                <w:sz w:val="20"/>
              </w:rPr>
            </w:pPr>
            <w:r>
              <w:rPr>
                <w:b/>
                <w:sz w:val="20"/>
              </w:rPr>
              <w:t>NOMBRE</w:t>
            </w:r>
          </w:p>
        </w:tc>
        <w:tc>
          <w:tcPr>
            <w:tcW w:w="2400" w:type="dxa"/>
          </w:tcPr>
          <w:p>
            <w:pPr>
              <w:pStyle w:val="TableParagraph"/>
              <w:spacing w:before="54"/>
              <w:ind w:left="55"/>
              <w:rPr>
                <w:b/>
                <w:sz w:val="20"/>
              </w:rPr>
            </w:pPr>
            <w:r>
              <w:rPr>
                <w:b/>
                <w:sz w:val="20"/>
              </w:rPr>
              <w:t>APELLIDOS</w:t>
            </w:r>
          </w:p>
        </w:tc>
        <w:tc>
          <w:tcPr>
            <w:tcW w:w="1366" w:type="dxa"/>
          </w:tcPr>
          <w:p>
            <w:pPr>
              <w:pStyle w:val="TableParagraph"/>
              <w:spacing w:before="54"/>
              <w:ind w:left="55"/>
              <w:rPr>
                <w:b/>
                <w:sz w:val="20"/>
              </w:rPr>
            </w:pPr>
            <w:r>
              <w:rPr>
                <w:b/>
                <w:sz w:val="20"/>
              </w:rPr>
              <w:t>N.I.F.</w:t>
            </w:r>
          </w:p>
        </w:tc>
        <w:tc>
          <w:tcPr>
            <w:tcW w:w="1795" w:type="dxa"/>
          </w:tcPr>
          <w:p>
            <w:pPr>
              <w:pStyle w:val="TableParagraph"/>
              <w:spacing w:before="54"/>
              <w:ind w:left="55"/>
              <w:rPr>
                <w:b/>
                <w:sz w:val="20"/>
              </w:rPr>
            </w:pPr>
            <w:r>
              <w:rPr>
                <w:b/>
                <w:sz w:val="20"/>
              </w:rPr>
              <w:t>DESCRIPCIÓN</w:t>
            </w:r>
          </w:p>
        </w:tc>
        <w:tc>
          <w:tcPr>
            <w:tcW w:w="1135" w:type="dxa"/>
          </w:tcPr>
          <w:p>
            <w:pPr>
              <w:pStyle w:val="TableParagraph"/>
              <w:spacing w:before="54"/>
              <w:ind w:left="117"/>
              <w:rPr>
                <w:b/>
                <w:sz w:val="20"/>
              </w:rPr>
            </w:pPr>
            <w:r>
              <w:rPr>
                <w:b/>
                <w:sz w:val="20"/>
              </w:rPr>
              <w:t>CUANTIÁ</w:t>
            </w:r>
          </w:p>
        </w:tc>
      </w:tr>
      <w:tr>
        <w:trPr>
          <w:trHeight w:val="380" w:hRule="atLeast"/>
        </w:trPr>
        <w:tc>
          <w:tcPr>
            <w:tcW w:w="1754"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795" w:type="dxa"/>
          </w:tcPr>
          <w:p>
            <w:pPr>
              <w:pStyle w:val="TableParagraph"/>
              <w:spacing w:before="110"/>
              <w:ind w:left="54"/>
              <w:rPr>
                <w:sz w:val="20"/>
              </w:rPr>
            </w:pPr>
            <w:r>
              <w:rPr>
                <w:sz w:val="20"/>
              </w:rPr>
              <w:t>MEDICAMENTOS</w:t>
            </w:r>
          </w:p>
        </w:tc>
        <w:tc>
          <w:tcPr>
            <w:tcW w:w="1135" w:type="dxa"/>
          </w:tcPr>
          <w:p>
            <w:pPr>
              <w:pStyle w:val="TableParagraph"/>
              <w:spacing w:before="110"/>
              <w:ind w:right="48"/>
              <w:jc w:val="right"/>
              <w:rPr>
                <w:sz w:val="20"/>
              </w:rPr>
            </w:pPr>
            <w:r>
              <w:rPr>
                <w:sz w:val="20"/>
              </w:rPr>
              <w:t>9,04 €</w:t>
            </w:r>
          </w:p>
        </w:tc>
      </w:tr>
      <w:tr>
        <w:trPr>
          <w:trHeight w:val="380" w:hRule="atLeast"/>
        </w:trPr>
        <w:tc>
          <w:tcPr>
            <w:tcW w:w="1754"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795" w:type="dxa"/>
          </w:tcPr>
          <w:p>
            <w:pPr>
              <w:pStyle w:val="TableParagraph"/>
              <w:spacing w:before="112"/>
              <w:ind w:left="54"/>
              <w:rPr>
                <w:sz w:val="20"/>
              </w:rPr>
            </w:pPr>
            <w:r>
              <w:rPr>
                <w:sz w:val="20"/>
              </w:rPr>
              <w:t>DEUDA AGUA</w:t>
            </w:r>
          </w:p>
        </w:tc>
        <w:tc>
          <w:tcPr>
            <w:tcW w:w="1135" w:type="dxa"/>
          </w:tcPr>
          <w:p>
            <w:pPr>
              <w:pStyle w:val="TableParagraph"/>
              <w:spacing w:before="112"/>
              <w:ind w:right="46"/>
              <w:jc w:val="right"/>
              <w:rPr>
                <w:sz w:val="20"/>
              </w:rPr>
            </w:pPr>
            <w:r>
              <w:rPr>
                <w:sz w:val="20"/>
              </w:rPr>
              <w:t>150,00 €</w:t>
            </w:r>
          </w:p>
        </w:tc>
      </w:tr>
      <w:tr>
        <w:trPr>
          <w:trHeight w:val="380" w:hRule="atLeast"/>
        </w:trPr>
        <w:tc>
          <w:tcPr>
            <w:tcW w:w="1754"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795" w:type="dxa"/>
          </w:tcPr>
          <w:p>
            <w:pPr>
              <w:pStyle w:val="TableParagraph"/>
              <w:spacing w:before="112"/>
              <w:ind w:left="54"/>
              <w:rPr>
                <w:sz w:val="20"/>
              </w:rPr>
            </w:pPr>
            <w:r>
              <w:rPr>
                <w:sz w:val="20"/>
              </w:rPr>
              <w:t>DEUDA LUZ</w:t>
            </w:r>
          </w:p>
        </w:tc>
        <w:tc>
          <w:tcPr>
            <w:tcW w:w="1135" w:type="dxa"/>
          </w:tcPr>
          <w:p>
            <w:pPr>
              <w:pStyle w:val="TableParagraph"/>
              <w:spacing w:before="112"/>
              <w:ind w:right="46"/>
              <w:jc w:val="right"/>
              <w:rPr>
                <w:sz w:val="20"/>
              </w:rPr>
            </w:pPr>
            <w:r>
              <w:rPr>
                <w:sz w:val="20"/>
              </w:rPr>
              <w:t>300,00 €</w:t>
            </w:r>
          </w:p>
        </w:tc>
      </w:tr>
      <w:tr>
        <w:trPr>
          <w:trHeight w:val="380" w:hRule="atLeast"/>
        </w:trPr>
        <w:tc>
          <w:tcPr>
            <w:tcW w:w="1754"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795" w:type="dxa"/>
          </w:tcPr>
          <w:p>
            <w:pPr>
              <w:pStyle w:val="TableParagraph"/>
              <w:spacing w:before="110"/>
              <w:ind w:left="54"/>
              <w:rPr>
                <w:sz w:val="20"/>
              </w:rPr>
            </w:pPr>
            <w:r>
              <w:rPr>
                <w:sz w:val="20"/>
              </w:rPr>
              <w:t>ALQUILER</w:t>
            </w:r>
          </w:p>
        </w:tc>
        <w:tc>
          <w:tcPr>
            <w:tcW w:w="1135" w:type="dxa"/>
          </w:tcPr>
          <w:p>
            <w:pPr>
              <w:pStyle w:val="TableParagraph"/>
              <w:spacing w:before="110"/>
              <w:ind w:right="45"/>
              <w:jc w:val="right"/>
              <w:rPr>
                <w:sz w:val="20"/>
              </w:rPr>
            </w:pPr>
            <w:r>
              <w:rPr>
                <w:sz w:val="20"/>
              </w:rPr>
              <w:t>350,00 €</w:t>
            </w:r>
          </w:p>
        </w:tc>
      </w:tr>
    </w:tbl>
    <w:p>
      <w:pPr>
        <w:pStyle w:val="BodyText"/>
        <w:rPr>
          <w:sz w:val="22"/>
        </w:rPr>
      </w:pPr>
    </w:p>
    <w:p>
      <w:pPr>
        <w:pStyle w:val="BodyText"/>
        <w:spacing w:before="93"/>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4"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ind w:right="1254" w:firstLine="719"/>
      </w:pPr>
      <w:r>
        <w:rPr/>
        <w:drawing>
          <wp:anchor distT="0" distB="0" distL="0" distR="0" allowOverlap="1" layoutInCell="1" locked="0" behindDoc="0" simplePos="0" relativeHeight="1192">
            <wp:simplePos x="0" y="0"/>
            <wp:positionH relativeFrom="page">
              <wp:posOffset>6858000</wp:posOffset>
            </wp:positionH>
            <wp:positionV relativeFrom="paragraph">
              <wp:posOffset>202637</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3º.- </w:t>
      </w:r>
      <w:r>
        <w:rPr/>
        <w:t>E</w:t>
      </w:r>
      <w:r>
        <w:rPr>
          <w:u w:val="single"/>
        </w:rPr>
        <w:t>XPEDIENTE 2197/2021. LICENCIA DE VADO (OCUPACIÓN DE</w:t>
      </w:r>
      <w:r>
        <w:rPr/>
        <w:t> </w:t>
      </w:r>
      <w:r>
        <w:rPr>
          <w:u w:val="single"/>
        </w:rPr>
        <w:t>DOMINIO PÚBLICO). ACUERDO PROCEDENTE</w:t>
      </w:r>
      <w:r>
        <w:rPr/>
        <w:t>.-</w:t>
      </w:r>
    </w:p>
    <w:p>
      <w:pPr>
        <w:pStyle w:val="BodyText"/>
        <w:tabs>
          <w:tab w:pos="6362" w:val="left" w:leader="none"/>
          <w:tab w:pos="9679" w:val="left" w:leader="none"/>
        </w:tabs>
        <w:spacing w:before="230"/>
        <w:ind w:left="1243" w:right="1249" w:firstLine="720"/>
        <w:jc w:val="both"/>
      </w:pPr>
      <w:r>
        <w:rPr/>
        <w:pict>
          <v:rect style="position:absolute;margin-left:204.599991pt;margin-top:39.075359pt;width:136.439997pt;height:13.8pt;mso-position-horizontal-relative:page;mso-position-vertical-relative:paragraph;z-index:-6496" filled="true" fillcolor="#000000" stroked="false">
            <v:fill type="solid"/>
            <w10:wrap type="none"/>
          </v:rect>
        </w:pict>
      </w:r>
      <w:r>
        <w:rPr/>
        <w:pict>
          <v:rect style="position:absolute;margin-left:438.47998pt;margin-top:39.555359pt;width:68.399998pt;height:13.32pt;mso-position-horizontal-relative:page;mso-position-vertical-relative:paragraph;z-index:-6472" filled="true" fillcolor="#000000" stroked="false">
            <v:fill type="solid"/>
            <w10:wrap type="none"/>
          </v:rect>
        </w:pict>
      </w:r>
      <w:r>
        <w:rPr/>
        <w:pict>
          <v:rect style="position:absolute;margin-left:373.919983pt;margin-top:80.475357pt;width:25.919999pt;height:13.8pt;mso-position-horizontal-relative:page;mso-position-vertical-relative:paragraph;z-index:-6448" filled="true" fillcolor="#000000" stroked="false">
            <v:fill type="solid"/>
            <w10:wrap type="none"/>
          </v:rect>
        </w:pict>
      </w:r>
      <w:r>
        <w:rPr/>
        <w:pict>
          <v:shape style="position:absolute;margin-left:567.568359pt;margin-top:20.692631pt;width:14.75pt;height:267.150pt;mso-position-horizontal-relative:page;mso-position-vertical-relative:paragraph;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6ZHNYQ7MYPRH4RLA7JC6TR7Z</w:t>
                  </w:r>
                  <w:r>
                    <w:rPr>
                      <w:sz w:val="12"/>
                    </w:rPr>
                    <w:t>P</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4</w:t>
                  </w:r>
                </w:p>
              </w:txbxContent>
            </v:textbox>
            <w10:wrap type="none"/>
          </v:shape>
        </w:pict>
      </w:r>
      <w:r>
        <w:rPr/>
        <w:t>Por la Señora Concejal de Hacienda, Doña Inmaculada </w:t>
      </w:r>
      <w:r>
        <w:rPr>
          <w:spacing w:val="-3"/>
        </w:rPr>
        <w:t>Valeriana </w:t>
      </w:r>
      <w:r>
        <w:rPr/>
        <w:t>Guerra Mendoza, se da cuenta del informe del Negociado de Asuntos Tributarios sobre la  instancia</w:t>
      </w:r>
      <w:r>
        <w:rPr>
          <w:spacing w:val="5"/>
        </w:rPr>
        <w:t> </w:t>
      </w:r>
      <w:r>
        <w:rPr/>
        <w:t>de</w:t>
      </w:r>
      <w:r>
        <w:rPr>
          <w:spacing w:val="33"/>
        </w:rPr>
        <w:t> </w:t>
      </w:r>
      <w:r>
        <w:rPr/>
        <w:t>Doña</w:t>
      </w:r>
      <w:r>
        <w:rPr>
          <w:rFonts w:ascii="Times New Roman" w:hAnsi="Times New Roman"/>
        </w:rPr>
        <w:tab/>
      </w:r>
      <w:r>
        <w:rPr/>
        <w:t>,</w:t>
      </w:r>
      <w:r>
        <w:rPr>
          <w:spacing w:val="36"/>
        </w:rPr>
        <w:t> </w:t>
      </w:r>
      <w:r>
        <w:rPr/>
        <w:t>con</w:t>
      </w:r>
      <w:r>
        <w:rPr>
          <w:spacing w:val="35"/>
        </w:rPr>
        <w:t> </w:t>
      </w:r>
      <w:r>
        <w:rPr>
          <w:spacing w:val="-3"/>
          <w:sz w:val="23"/>
        </w:rPr>
        <w:t>D.N.I./N.I.F.</w:t>
      </w:r>
      <w:r>
        <w:rPr>
          <w:rFonts w:ascii="Times New Roman" w:hAnsi="Times New Roman"/>
          <w:spacing w:val="-3"/>
          <w:sz w:val="23"/>
        </w:rPr>
        <w:tab/>
      </w:r>
      <w:r>
        <w:rPr/>
        <w:t>, en la que expone que disponiendo de un garaje particular con capacidad para tres (3) vehículos </w:t>
      </w:r>
      <w:r>
        <w:rPr>
          <w:spacing w:val="-5"/>
        </w:rPr>
        <w:t>(Tarifa </w:t>
      </w:r>
      <w:r>
        <w:rPr/>
        <w:t>1.c de la Ordenanza Fiscal correspondiente) en el inmueble sito en la Calle Veinticinco de Julio, número       , de este t.m., es por lo que viene a solicitar la concesión de un </w:t>
      </w:r>
      <w:r>
        <w:rPr>
          <w:spacing w:val="-6"/>
        </w:rPr>
        <w:t>Vado </w:t>
      </w:r>
      <w:r>
        <w:rPr/>
        <w:t>Permanente para “la entrada y salida de vehículos” del</w:t>
      </w:r>
      <w:r>
        <w:rPr>
          <w:spacing w:val="-15"/>
        </w:rPr>
        <w:t> </w:t>
      </w:r>
      <w:r>
        <w:rPr/>
        <w:t>mismo.</w:t>
      </w:r>
    </w:p>
    <w:p>
      <w:pPr>
        <w:spacing w:before="0"/>
        <w:ind w:left="1244" w:right="1247" w:firstLine="719"/>
        <w:jc w:val="both"/>
        <w:rPr>
          <w:i/>
          <w:sz w:val="24"/>
        </w:rPr>
      </w:pPr>
      <w:r>
        <w:rPr>
          <w:sz w:val="24"/>
        </w:rPr>
        <w:t>Se da cuenta asimismo, de informe emitido por el Subinspector-Jefe de la Policía Local de este Ayuntamiento, con fecha 15 de febrero de 2021, en el que se hace constar que “</w:t>
      </w:r>
      <w:r>
        <w:rPr>
          <w:i/>
          <w:sz w:val="24"/>
        </w:rPr>
        <w:t>no existe inconveniente alguno en acceder a lo solicitado”.</w:t>
      </w:r>
    </w:p>
    <w:p>
      <w:pPr>
        <w:pStyle w:val="BodyText"/>
        <w:ind w:left="1244" w:right="1249" w:firstLine="719"/>
        <w:jc w:val="both"/>
      </w:pP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w:t>
      </w:r>
      <w:r>
        <w:rPr>
          <w:spacing w:val="31"/>
        </w:rPr>
        <w:t> </w:t>
      </w:r>
      <w:r>
        <w:rPr/>
        <w:t>2/2004,</w:t>
      </w:r>
      <w:r>
        <w:rPr>
          <w:spacing w:val="31"/>
        </w:rPr>
        <w:t> </w:t>
      </w:r>
      <w:r>
        <w:rPr/>
        <w:t>de</w:t>
      </w:r>
      <w:r>
        <w:rPr>
          <w:spacing w:val="31"/>
        </w:rPr>
        <w:t> </w:t>
      </w:r>
      <w:r>
        <w:rPr/>
        <w:t>5</w:t>
      </w:r>
      <w:r>
        <w:rPr>
          <w:spacing w:val="31"/>
        </w:rPr>
        <w:t> </w:t>
      </w:r>
      <w:r>
        <w:rPr/>
        <w:t>de</w:t>
      </w:r>
      <w:r>
        <w:rPr>
          <w:spacing w:val="35"/>
        </w:rPr>
        <w:t> </w:t>
      </w:r>
      <w:r>
        <w:rPr/>
        <w:t>marzo;</w:t>
      </w:r>
      <w:r>
        <w:rPr>
          <w:spacing w:val="33"/>
        </w:rPr>
        <w:t> </w:t>
      </w:r>
      <w:r>
        <w:rPr/>
        <w:t>en</w:t>
      </w:r>
      <w:r>
        <w:rPr>
          <w:spacing w:val="31"/>
        </w:rPr>
        <w:t> </w:t>
      </w:r>
      <w:r>
        <w:rPr/>
        <w:t>los</w:t>
      </w:r>
      <w:r>
        <w:rPr>
          <w:spacing w:val="30"/>
        </w:rPr>
        <w:t> </w:t>
      </w:r>
      <w:r>
        <w:rPr/>
        <w:t>artículos</w:t>
      </w:r>
      <w:r>
        <w:rPr>
          <w:spacing w:val="31"/>
        </w:rPr>
        <w:t> </w:t>
      </w:r>
      <w:r>
        <w:rPr/>
        <w:t>2,</w:t>
      </w:r>
      <w:r>
        <w:rPr>
          <w:spacing w:val="33"/>
        </w:rPr>
        <w:t> </w:t>
      </w:r>
      <w:r>
        <w:rPr/>
        <w:t>3,</w:t>
      </w:r>
      <w:r>
        <w:rPr>
          <w:spacing w:val="31"/>
        </w:rPr>
        <w:t> </w:t>
      </w:r>
      <w:r>
        <w:rPr/>
        <w:t>5,</w:t>
      </w:r>
      <w:r>
        <w:rPr>
          <w:spacing w:val="31"/>
        </w:rPr>
        <w:t> </w:t>
      </w:r>
      <w:r>
        <w:rPr/>
        <w:t>6,</w:t>
      </w:r>
      <w:r>
        <w:rPr>
          <w:spacing w:val="31"/>
        </w:rPr>
        <w:t> </w:t>
      </w:r>
      <w:r>
        <w:rPr/>
        <w:t>7,</w:t>
      </w:r>
      <w:r>
        <w:rPr>
          <w:spacing w:val="31"/>
        </w:rPr>
        <w:t> </w:t>
      </w:r>
      <w:r>
        <w:rPr/>
        <w:t>8</w:t>
      </w:r>
      <w:r>
        <w:rPr>
          <w:spacing w:val="35"/>
        </w:rPr>
        <w:t> </w:t>
      </w:r>
      <w:r>
        <w:rPr/>
        <w:t>y</w:t>
      </w:r>
      <w:r>
        <w:rPr>
          <w:spacing w:val="30"/>
        </w:rPr>
        <w:t> </w:t>
      </w:r>
      <w:r>
        <w:rPr/>
        <w:t>9</w:t>
      </w:r>
      <w:r>
        <w:rPr>
          <w:spacing w:val="31"/>
        </w:rPr>
        <w:t> </w:t>
      </w:r>
      <w:r>
        <w:rPr/>
        <w:t>de</w:t>
      </w:r>
      <w:r>
        <w:rPr>
          <w:spacing w:val="31"/>
        </w:rPr>
        <w:t> </w:t>
      </w:r>
      <w:r>
        <w:rPr/>
        <w:t>la</w:t>
      </w:r>
    </w:p>
    <w:p>
      <w:pPr>
        <w:spacing w:after="0"/>
        <w:jc w:val="both"/>
        <w:sectPr>
          <w:footerReference w:type="default" r:id="rId9"/>
          <w:pgSz w:w="11900" w:h="16840"/>
          <w:pgMar w:footer="340" w:header="0" w:top="1600" w:bottom="540" w:left="460" w:right="440"/>
        </w:sectPr>
      </w:pPr>
    </w:p>
    <w:p>
      <w:pPr>
        <w:pStyle w:val="BodyText"/>
        <w:ind w:left="1260"/>
        <w:rPr>
          <w:sz w:val="20"/>
        </w:rPr>
      </w:pPr>
      <w:r>
        <w:rPr>
          <w:sz w:val="20"/>
        </w:rPr>
        <w:drawing>
          <wp:inline distT="0" distB="0" distL="0" distR="0">
            <wp:extent cx="941945" cy="707231"/>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41945" cy="707231"/>
                    </a:xfrm>
                    <a:prstGeom prst="rect">
                      <a:avLst/>
                    </a:prstGeom>
                  </pic:spPr>
                </pic:pic>
              </a:graphicData>
            </a:graphic>
          </wp:inline>
        </w:drawing>
      </w:r>
      <w:r>
        <w:rPr>
          <w:sz w:val="20"/>
        </w:rPr>
      </w:r>
    </w:p>
    <w:p>
      <w:pPr>
        <w:pStyle w:val="BodyText"/>
        <w:tabs>
          <w:tab w:pos="5535" w:val="left" w:leader="none"/>
          <w:tab w:pos="8897" w:val="left" w:leader="none"/>
        </w:tabs>
        <w:spacing w:before="161"/>
        <w:ind w:left="1243" w:right="1249"/>
        <w:jc w:val="both"/>
      </w:pPr>
      <w:r>
        <w:rPr/>
        <w:pict>
          <v:rect style="position:absolute;margin-left:125.040001pt;margin-top:90.945168pt;width:174.599996pt;height:13.8pt;mso-position-horizontal-relative:page;mso-position-vertical-relative:paragraph;z-index:-6352" filled="true" fillcolor="#000000" stroked="false">
            <v:fill type="solid"/>
            <w10:wrap type="none"/>
          </v:rect>
        </w:pict>
      </w:r>
      <w:r>
        <w:rPr/>
        <w:pict>
          <v:rect style="position:absolute;margin-left:399.47998pt;margin-top:91.425171pt;width:68.399998pt;height:13.2pt;mso-position-horizontal-relative:page;mso-position-vertical-relative:paragraph;z-index:-6328" filled="true" fillcolor="#000000" stroked="false">
            <v:fill type="solid"/>
            <w10:wrap type="none"/>
          </v:rect>
        </w:pict>
      </w:r>
      <w:r>
        <w:rPr/>
        <w:t>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w:t>
      </w:r>
      <w:r>
        <w:rPr>
          <w:spacing w:val="51"/>
        </w:rPr>
        <w:t> </w:t>
      </w:r>
      <w:r>
        <w:rPr/>
        <w:t>con</w:t>
      </w:r>
      <w:r>
        <w:rPr>
          <w:spacing w:val="51"/>
        </w:rPr>
        <w:t> </w:t>
      </w:r>
      <w:r>
        <w:rPr>
          <w:spacing w:val="-3"/>
          <w:sz w:val="23"/>
        </w:rPr>
        <w:t>D.N.I./N.I.F.</w:t>
      </w:r>
      <w:r>
        <w:rPr>
          <w:rFonts w:ascii="Times New Roman" w:hAnsi="Times New Roman"/>
          <w:spacing w:val="-3"/>
          <w:sz w:val="23"/>
        </w:rPr>
        <w:tab/>
      </w:r>
      <w:r>
        <w:rPr/>
        <w:t>,</w:t>
      </w:r>
      <w:r>
        <w:rPr>
          <w:spacing w:val="50"/>
        </w:rPr>
        <w:t> </w:t>
      </w:r>
      <w:r>
        <w:rPr>
          <w:spacing w:val="-5"/>
        </w:rPr>
        <w:t>VADO</w:t>
      </w:r>
    </w:p>
    <w:p>
      <w:pPr>
        <w:pStyle w:val="BodyText"/>
        <w:ind w:left="1243" w:right="1252"/>
        <w:jc w:val="both"/>
      </w:pPr>
      <w:r>
        <w:rPr/>
        <w:pict>
          <v:rect style="position:absolute;margin-left:129.119995pt;margin-top:41.495193pt;width:26.039999pt;height:13.8pt;mso-position-horizontal-relative:page;mso-position-vertical-relative:paragraph;z-index:-6304" filled="true" fillcolor="#000000" stroked="false">
            <v:fill type="solid"/>
            <w10:wrap type="none"/>
          </v:rect>
        </w:pict>
      </w:r>
      <w:r>
        <w:rPr/>
        <w:t>PERMANENTE NÚM. 656, para la entrada y salida de vehículos en el garaje particular con capacidad para tres (3) plazas (Tarifa 1.c de la Ordenanza Fiscal correspondiente), sito en el inmueble ubicado en la calle Veinticinco de Julio, número         , de este t.m.</w:t>
      </w:r>
    </w:p>
    <w:p>
      <w:pPr>
        <w:pStyle w:val="Heading1"/>
        <w:rPr>
          <w:b w:val="0"/>
        </w:rPr>
      </w:pPr>
      <w:r>
        <w:rPr>
          <w:b w:val="0"/>
        </w:rPr>
        <w:t>4º.- </w:t>
      </w:r>
      <w:r>
        <w:rPr>
          <w:u w:val="single"/>
        </w:rPr>
        <w:t>EXPEDIENTE 2246/2021. APROBACIÓN DE CONVENIO CON EL</w:t>
      </w:r>
      <w:r>
        <w:rPr/>
        <w:t> </w:t>
      </w:r>
      <w:r>
        <w:rPr>
          <w:u w:val="single"/>
        </w:rPr>
        <w:t>PATRONATO DE TURISMO DE GRAN CANARIA. ACUERDO</w:t>
      </w:r>
      <w:r>
        <w:rPr/>
        <w:t> </w:t>
      </w:r>
      <w:r>
        <w:rPr>
          <w:u w:val="single"/>
        </w:rPr>
        <w:t>PROCEDENTE</w:t>
      </w:r>
      <w:r>
        <w:rPr>
          <w:b w:val="0"/>
        </w:rPr>
        <w:t>.-</w:t>
      </w:r>
    </w:p>
    <w:p>
      <w:pPr>
        <w:pStyle w:val="BodyText"/>
        <w:spacing w:before="230"/>
        <w:ind w:left="1244" w:right="1251" w:firstLine="719"/>
        <w:jc w:val="both"/>
      </w:pPr>
      <w:r>
        <w:rPr/>
        <w:t>Por el </w:t>
      </w:r>
      <w:r>
        <w:rPr>
          <w:spacing w:val="-5"/>
        </w:rPr>
        <w:t>Sr. </w:t>
      </w:r>
      <w:r>
        <w:rPr/>
        <w:t>Alcalde-Presidente, Don </w:t>
      </w:r>
      <w:r>
        <w:rPr>
          <w:spacing w:val="-5"/>
        </w:rPr>
        <w:t>Teodoro </w:t>
      </w:r>
      <w:r>
        <w:rPr/>
        <w:t>Claret Sosa Monzón, se propone la aprobación de Convenio con el Patronato de Turismo de Gran Canaria, para colaborar en la actividad de Información Turística en el municipio de Gáldar a cargo de la subvención contemplada en el Plan Estratégico de Subvenciones de Turismo de Gran Canaria para el ejercicio 2021 y por importe de once mil novecientos setenta y cinco euros con dieciséis céntimos </w:t>
      </w:r>
      <w:r>
        <w:rPr>
          <w:spacing w:val="-3"/>
        </w:rPr>
        <w:t>(11.975,16</w:t>
      </w:r>
      <w:r>
        <w:rPr>
          <w:spacing w:val="5"/>
        </w:rPr>
        <w:t> </w:t>
      </w:r>
      <w:r>
        <w:rPr/>
        <w:t>€).</w:t>
      </w:r>
    </w:p>
    <w:p>
      <w:pPr>
        <w:pStyle w:val="BodyText"/>
        <w:ind w:left="1244" w:right="1250" w:firstLine="719"/>
        <w:jc w:val="both"/>
      </w:pPr>
      <w:r>
        <w:rPr/>
        <w:t>En base a lo expuesto, la Junta de Gobierno Local por unanimidad acordó aprobar el Convenio con el Patronato de Turismo de Gran Canaria, para colaborar en la actividad de Información Turística en el municipio de Gáldar a cargo de la subvención contemplada en el Plan Estratégico de Subvenciones de Turismo de Gran Canaria para el ejercicio 2021 y por importe de once mil novecientos setenta y cinco euros con dieciséis céntimos </w:t>
      </w:r>
      <w:r>
        <w:rPr>
          <w:spacing w:val="-3"/>
        </w:rPr>
        <w:t>(11.975,16</w:t>
      </w:r>
      <w:r>
        <w:rPr>
          <w:spacing w:val="-23"/>
        </w:rPr>
        <w:t> </w:t>
      </w:r>
      <w:r>
        <w:rPr/>
        <w:t>€).</w:t>
      </w:r>
    </w:p>
    <w:p>
      <w:pPr>
        <w:pStyle w:val="Heading1"/>
        <w:ind w:right="1250"/>
        <w:rPr>
          <w:b w:val="0"/>
        </w:rPr>
      </w:pPr>
      <w:r>
        <w:rPr/>
        <w:drawing>
          <wp:anchor distT="0" distB="0" distL="0" distR="0" allowOverlap="1" layoutInCell="1" locked="0" behindDoc="0" simplePos="0" relativeHeight="1336">
            <wp:simplePos x="0" y="0"/>
            <wp:positionH relativeFrom="page">
              <wp:posOffset>6858000</wp:posOffset>
            </wp:positionH>
            <wp:positionV relativeFrom="paragraph">
              <wp:posOffset>83765</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0.45261pt;width:14.75pt;height:267.150pt;mso-position-horizontal-relative:page;mso-position-vertical-relative:paragraph;z-index:13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6ZHNYQ7MYPRH4RLA7JC6TR7Z</w:t>
                  </w:r>
                  <w:r>
                    <w:rPr>
                      <w:sz w:val="12"/>
                    </w:rPr>
                    <w:t>P</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4</w:t>
                  </w:r>
                </w:p>
              </w:txbxContent>
            </v:textbox>
            <w10:wrap type="none"/>
          </v:shape>
        </w:pict>
      </w:r>
      <w:r>
        <w:rPr>
          <w:b w:val="0"/>
        </w:rPr>
        <w:t>5º.- </w:t>
      </w:r>
      <w:r>
        <w:rPr>
          <w:u w:val="single"/>
        </w:rPr>
        <w:t>EXPEDIENTE 2319/2021. SOLICITUD DE SUBVENCIÓN AL</w:t>
      </w:r>
      <w:r>
        <w:rPr/>
        <w:t> </w:t>
      </w:r>
      <w:r>
        <w:rPr>
          <w:spacing w:val="-7"/>
          <w:u w:val="single"/>
        </w:rPr>
        <w:t>PATRONATO </w:t>
      </w:r>
      <w:r>
        <w:rPr>
          <w:u w:val="single"/>
        </w:rPr>
        <w:t>DE TURISMO DE GRAN CANARIA </w:t>
      </w:r>
      <w:r>
        <w:rPr>
          <w:spacing w:val="-6"/>
          <w:u w:val="single"/>
        </w:rPr>
        <w:t>PARA </w:t>
      </w:r>
      <w:r>
        <w:rPr>
          <w:u w:val="single"/>
        </w:rPr>
        <w:t>LA</w:t>
      </w:r>
      <w:r>
        <w:rPr/>
        <w:t>  </w:t>
      </w:r>
      <w:r>
        <w:rPr>
          <w:u w:val="single"/>
        </w:rPr>
        <w:t>COLABORACIÓN EN EL “FOTOSUB SARDINA 2021”. ACUERDO</w:t>
      </w:r>
      <w:r>
        <w:rPr/>
        <w:t> </w:t>
      </w:r>
      <w:r>
        <w:rPr>
          <w:u w:val="single"/>
        </w:rPr>
        <w:t>PROCEDENTE</w:t>
      </w:r>
      <w:r>
        <w:rPr>
          <w:b w:val="0"/>
        </w:rPr>
        <w:t>.-</w:t>
      </w:r>
    </w:p>
    <w:p>
      <w:pPr>
        <w:pStyle w:val="BodyText"/>
        <w:spacing w:before="230"/>
        <w:ind w:left="1244" w:right="1251" w:firstLine="719"/>
        <w:jc w:val="both"/>
      </w:pPr>
      <w:r>
        <w:rPr/>
        <w:t>Por el </w:t>
      </w:r>
      <w:r>
        <w:rPr>
          <w:spacing w:val="-5"/>
        </w:rPr>
        <w:t>Sr. </w:t>
      </w:r>
      <w:r>
        <w:rPr/>
        <w:t>Alcalde-Presidente, Don </w:t>
      </w:r>
      <w:r>
        <w:rPr>
          <w:spacing w:val="-5"/>
        </w:rPr>
        <w:t>Teodoro </w:t>
      </w:r>
      <w:r>
        <w:rPr/>
        <w:t>Claret Sosa Monzón, se propone la aprobación de la solicitud de subvención al Patronato de Turismo de Gran Canaria para la colaboración en el “Fotosub Sardina 2021”, a cargo de la subvención contemplada en el Plan Estratégico de Subvenciones de Turismo de Gran Canaria para el ejercicio 2021 y por  importe  de  cinco mil euros  (5.000</w:t>
      </w:r>
      <w:r>
        <w:rPr>
          <w:spacing w:val="-4"/>
        </w:rPr>
        <w:t> </w:t>
      </w:r>
      <w:r>
        <w:rPr/>
        <w:t>€).</w:t>
      </w:r>
    </w:p>
    <w:p>
      <w:pPr>
        <w:pStyle w:val="BodyText"/>
        <w:ind w:left="1244" w:right="1252" w:firstLine="719"/>
        <w:jc w:val="both"/>
      </w:pPr>
      <w:r>
        <w:rPr/>
        <w:t>En base a lo expuesto, la Junta de Gobierno Local por unanimidad acordó aprobar la solicitud de subvención al Patronato de Turismo de Gran Canaria para la colaboración en el “Fotosub Sardina 2021”, a cargo de la subvención contemplada en el Plan Estratégico de Subvenciones de Turismo de Gran Canaria para el ejercicio 2021 y por  importe  de  cinco mil euros  (5.000</w:t>
      </w:r>
      <w:r>
        <w:rPr>
          <w:spacing w:val="-4"/>
        </w:rPr>
        <w:t> </w:t>
      </w:r>
      <w:r>
        <w:rPr/>
        <w:t>€).</w:t>
      </w:r>
    </w:p>
    <w:p>
      <w:pPr>
        <w:pStyle w:val="BodyText"/>
        <w:spacing w:before="230"/>
        <w:ind w:left="1964"/>
      </w:pPr>
      <w:r>
        <w:rPr>
          <w:b/>
          <w:u w:val="single"/>
        </w:rPr>
        <w:t>URGENCIA</w:t>
      </w:r>
      <w:r>
        <w:rPr>
          <w:b/>
        </w:rPr>
        <w:t>.- </w:t>
      </w:r>
      <w:r>
        <w:rPr/>
        <w:t>Seguidamente y previa Declaración de Urgencia acordada</w:t>
      </w:r>
    </w:p>
    <w:p>
      <w:pPr>
        <w:pStyle w:val="BodyText"/>
        <w:spacing w:before="7"/>
        <w:rPr>
          <w:sz w:val="12"/>
        </w:rPr>
      </w:pPr>
      <w:r>
        <w:rPr/>
        <w:drawing>
          <wp:anchor distT="0" distB="0" distL="0" distR="0" allowOverlap="1" layoutInCell="1" locked="0" behindDoc="0" simplePos="0" relativeHeight="1240">
            <wp:simplePos x="0" y="0"/>
            <wp:positionH relativeFrom="page">
              <wp:posOffset>1097280</wp:posOffset>
            </wp:positionH>
            <wp:positionV relativeFrom="paragraph">
              <wp:posOffset>116869</wp:posOffset>
            </wp:positionV>
            <wp:extent cx="5384292" cy="228600"/>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384292" cy="228600"/>
                    </a:xfrm>
                    <a:prstGeom prst="rect">
                      <a:avLst/>
                    </a:prstGeom>
                  </pic:spPr>
                </pic:pic>
              </a:graphicData>
            </a:graphic>
          </wp:anchor>
        </w:drawing>
      </w:r>
    </w:p>
    <w:p>
      <w:pPr>
        <w:spacing w:after="0"/>
        <w:rPr>
          <w:sz w:val="12"/>
        </w:rPr>
        <w:sectPr>
          <w:footerReference w:type="default" r:id="rId10"/>
          <w:pgSz w:w="11900" w:h="16840"/>
          <w:pgMar w:footer="340" w:header="0" w:top="720" w:bottom="540" w:left="460" w:right="440"/>
          <w:pgNumType w:start="3"/>
        </w:sectPr>
      </w:pPr>
    </w:p>
    <w:p>
      <w:pPr>
        <w:pStyle w:val="BodyText"/>
        <w:spacing w:before="3"/>
        <w:rPr>
          <w:sz w:val="26"/>
        </w:rPr>
      </w:pPr>
    </w:p>
    <w:p>
      <w:pPr>
        <w:pStyle w:val="BodyText"/>
        <w:spacing w:before="93"/>
        <w:ind w:left="1243"/>
      </w:pPr>
      <w:r>
        <w:rPr/>
        <w:t>por unanimidad, fue tratado el siguiente asunto:</w:t>
      </w:r>
    </w:p>
    <w:p>
      <w:pPr>
        <w:pStyle w:val="Heading1"/>
        <w:rPr>
          <w:b w:val="0"/>
        </w:rPr>
      </w:pPr>
      <w:r>
        <w:rPr>
          <w:b w:val="0"/>
        </w:rPr>
        <w:t>A).- </w:t>
      </w:r>
      <w:r>
        <w:rPr>
          <w:u w:val="single"/>
        </w:rPr>
        <w:t>APROBACIÓN DEL PROYECTO “SEXTA FASE DE LAS OBRAS</w:t>
      </w:r>
      <w:r>
        <w:rPr/>
        <w:t> </w:t>
      </w:r>
      <w:r>
        <w:rPr>
          <w:u w:val="single"/>
        </w:rPr>
        <w:t>NECESARIAS EN EL POLÍGONO INDUSTRIAL DE SAN ISIDRO, T.M. DE</w:t>
      </w:r>
      <w:r>
        <w:rPr/>
        <w:t> </w:t>
      </w:r>
      <w:r>
        <w:rPr>
          <w:u w:val="single"/>
        </w:rPr>
        <w:t>GÁLDAR”. ACUERDO PROCEDENTE</w:t>
      </w:r>
      <w:r>
        <w:rPr>
          <w:b w:val="0"/>
        </w:rPr>
        <w:t>.-</w:t>
      </w:r>
    </w:p>
    <w:p>
      <w:pPr>
        <w:pStyle w:val="BodyText"/>
        <w:spacing w:before="230"/>
        <w:ind w:left="1244" w:right="1253" w:firstLine="719"/>
        <w:jc w:val="both"/>
      </w:pPr>
      <w:r>
        <w:rPr/>
        <w:t>Por el Señor Concejal de Urbanismo, Don Heriberto José Reyes Sánchez, se da cuenta del proyecto denominado </w:t>
      </w:r>
      <w:r>
        <w:rPr>
          <w:spacing w:val="-4"/>
        </w:rPr>
        <w:t>“SEXTA FASE </w:t>
      </w:r>
      <w:r>
        <w:rPr/>
        <w:t>DE LAS OBRAS NECESARIAS EN EL POLÍGONO INDUSTRIAL DE SAN ISIDRO, </w:t>
      </w:r>
      <w:r>
        <w:rPr>
          <w:spacing w:val="-7"/>
        </w:rPr>
        <w:t>T.M.</w:t>
      </w:r>
    </w:p>
    <w:p>
      <w:pPr>
        <w:pStyle w:val="BodyText"/>
        <w:ind w:left="1244"/>
      </w:pPr>
      <w:r>
        <w:rPr/>
        <w:t>DE GÁLDAR”, con un presupuesto de 450.000 € (IGIC incluido).</w:t>
      </w:r>
    </w:p>
    <w:p>
      <w:pPr>
        <w:pStyle w:val="BodyText"/>
        <w:ind w:left="1964" w:right="704"/>
      </w:pPr>
      <w:r>
        <w:rPr/>
        <w:t>Visto el proyecto, la Junta de Gobierno Local acordó por unanimidad: </w:t>
      </w:r>
      <w:r>
        <w:rPr>
          <w:u w:val="single"/>
        </w:rPr>
        <w:t>Primero</w:t>
      </w:r>
      <w:r>
        <w:rPr/>
        <w:t>.- Aprobar  inicialmente  el  proyecto  denominado “SEXTA FASE</w:t>
      </w:r>
    </w:p>
    <w:p>
      <w:pPr>
        <w:pStyle w:val="BodyText"/>
        <w:ind w:left="1244"/>
      </w:pPr>
      <w:r>
        <w:rPr/>
        <w:t>DE  LAS  OBRAS  NECESARIAS  EN  EL  POLÍGONO  INDUSTRIAL  DE SAN</w:t>
      </w:r>
    </w:p>
    <w:p>
      <w:pPr>
        <w:pStyle w:val="BodyText"/>
        <w:ind w:left="1244"/>
      </w:pPr>
      <w:r>
        <w:rPr/>
        <w:t>ISIDRO, T.M. DE GÁLDAR”, con un presupuesto de 450.000 € (IGIC incluido).</w:t>
      </w:r>
    </w:p>
    <w:p>
      <w:pPr>
        <w:pStyle w:val="BodyText"/>
        <w:ind w:left="1244" w:right="1259" w:firstLine="720"/>
        <w:jc w:val="both"/>
      </w:pPr>
      <w:r>
        <w:rPr>
          <w:u w:val="single"/>
        </w:rPr>
        <w:t>Segundo</w:t>
      </w:r>
      <w:r>
        <w:rPr/>
        <w:t>.- Someter el proyecto a información pública por el periodo de diez días mediante anuncio en el tablón de edictos.</w:t>
      </w:r>
    </w:p>
    <w:p>
      <w:pPr>
        <w:pStyle w:val="BodyText"/>
        <w:ind w:left="1243" w:right="1254" w:firstLine="720"/>
        <w:jc w:val="both"/>
      </w:pPr>
      <w:r>
        <w:rPr>
          <w:u w:val="single"/>
        </w:rPr>
        <w:t>Tercero</w:t>
      </w:r>
      <w:r>
        <w:rPr/>
        <w:t>.- En el caso de no presentarse alegaciones al proyecto, se entenderá aprobado definitivamente.</w:t>
      </w:r>
    </w:p>
    <w:p>
      <w:pPr>
        <w:spacing w:before="230"/>
        <w:ind w:left="1963" w:right="0" w:firstLine="0"/>
        <w:jc w:val="left"/>
        <w:rPr>
          <w:sz w:val="24"/>
        </w:rPr>
      </w:pPr>
      <w:r>
        <w:rPr>
          <w:sz w:val="24"/>
        </w:rPr>
        <w:t>6º.-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pPr>
    </w:p>
    <w:p>
      <w:pPr>
        <w:pStyle w:val="BodyText"/>
        <w:ind w:left="1244" w:right="1251" w:firstLine="719"/>
        <w:jc w:val="both"/>
      </w:pPr>
      <w:r>
        <w:rPr/>
        <w:pict>
          <v:shape style="position:absolute;margin-left:567.568359pt;margin-top:135.552551pt;width:14.75pt;height:267.150pt;mso-position-horizontal-relative:page;mso-position-vertical-relative:paragraph;z-index:-620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6ZHNYQ7MYPRH4RLA7JC6TR7Z</w:t>
                  </w:r>
                  <w:r>
                    <w:rPr>
                      <w:sz w:val="12"/>
                    </w:rPr>
                    <w:t>P</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4</w:t>
                  </w:r>
                </w:p>
              </w:txbxContent>
            </v:textbox>
            <w10:wrap type="none"/>
          </v:shape>
        </w:pict>
      </w: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r>
        <w:rPr/>
        <w:drawing>
          <wp:anchor distT="0" distB="0" distL="0" distR="0" allowOverlap="1" layoutInCell="1" locked="0" behindDoc="0" simplePos="0" relativeHeight="1384">
            <wp:simplePos x="0" y="0"/>
            <wp:positionH relativeFrom="page">
              <wp:posOffset>6858000</wp:posOffset>
            </wp:positionH>
            <wp:positionV relativeFrom="paragraph">
              <wp:posOffset>171428</wp:posOffset>
            </wp:positionV>
            <wp:extent cx="354710" cy="3927157"/>
            <wp:effectExtent l="0" t="0" r="0" b="0"/>
            <wp:wrapTopAndBottom/>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4710" cy="3927157"/>
                    </a:xfrm>
                    <a:prstGeom prst="rect">
                      <a:avLst/>
                    </a:prstGeom>
                  </pic:spPr>
                </pic:pic>
              </a:graphicData>
            </a:graphic>
          </wp:anchor>
        </w:drawing>
      </w:r>
    </w:p>
    <w:sectPr>
      <w:pgSz w:w="11900" w:h="16840"/>
      <w:pgMar w:header="0" w:footer="340" w:top="160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559814pt;margin-top:794.343323pt;width:15.85pt;height:13.15pt;mso-position-horizontal-relative:page;mso-position-vertical-relative:page;z-index:-6592" type="#_x0000_t202" filled="false" stroked="false">
          <v:textbox inset="0,0,0,0">
            <w:txbxContent>
              <w:p>
                <w:pPr>
                  <w:spacing w:before="12"/>
                  <w:ind w:left="20" w:right="0" w:firstLine="0"/>
                  <w:jc w:val="left"/>
                  <w:rPr>
                    <w:sz w:val="20"/>
                  </w:rPr>
                </w:pPr>
                <w:r>
                  <w:rPr>
                    <w:sz w:val="20"/>
                  </w:rPr>
                  <w:t>2/4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4.559814pt;margin-top:794.343323pt;width:16.850pt;height:13.15pt;mso-position-horizontal-relative:page;mso-position-vertical-relative:page;z-index:-6568"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3</w:t>
                </w:r>
                <w:r>
                  <w:rPr/>
                  <w:fldChar w:fldCharType="end"/>
                </w:r>
                <w:r>
                  <w:rPr>
                    <w:sz w:val="20"/>
                  </w:rPr>
                  <w:t>/4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230"/>
      <w:ind w:left="1243" w:right="1251" w:firstLine="720"/>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210223.JGL (1)</dc:title>
  <dcterms:created xsi:type="dcterms:W3CDTF">2022-05-07T20:24:03Z</dcterms:created>
  <dcterms:modified xsi:type="dcterms:W3CDTF">2022-05-07T20:24:03Z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PDFCreator 2.3.0.103</vt:lpwstr>
  </property>
  <property fmtid="{D5CDD505-2E9C-101B-9397-08002B2CF9AE}" pid="4" name="LastSaved">
    <vt:filetime>2022-05-07T00:00:00Z</vt:filetime>
  </property>
</Properties>
</file>